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C" w:rsidRPr="009F104C" w:rsidRDefault="009F104C" w:rsidP="009F104C">
      <w:pPr>
        <w:spacing w:line="360" w:lineRule="auto"/>
        <w:ind w:left="142"/>
        <w:jc w:val="left"/>
        <w:rPr>
          <w:b/>
          <w:i/>
          <w:caps/>
        </w:rPr>
      </w:pPr>
      <w:r w:rsidRPr="009F104C">
        <w:rPr>
          <w:b/>
          <w:i/>
          <w:caps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79E8B31" wp14:editId="684E79B7">
            <wp:simplePos x="1174750" y="901700"/>
            <wp:positionH relativeFrom="margin">
              <wp:align>left</wp:align>
            </wp:positionH>
            <wp:positionV relativeFrom="margin">
              <wp:align>top</wp:align>
            </wp:positionV>
            <wp:extent cx="1905000" cy="2476500"/>
            <wp:effectExtent l="190500" t="190500" r="400050" b="38100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iaangelova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ln w="254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1BBE" w:rsidRPr="009F104C">
        <w:rPr>
          <w:b/>
          <w:i/>
          <w:caps/>
        </w:rPr>
        <w:t xml:space="preserve">Върховното изпитание: </w:t>
      </w:r>
    </w:p>
    <w:p w:rsidR="009F104C" w:rsidRPr="009F104C" w:rsidRDefault="00221BBE" w:rsidP="009F104C">
      <w:pPr>
        <w:spacing w:line="360" w:lineRule="auto"/>
        <w:ind w:left="142"/>
        <w:jc w:val="left"/>
        <w:rPr>
          <w:b/>
          <w:caps/>
        </w:rPr>
      </w:pPr>
      <w:r w:rsidRPr="009F104C">
        <w:rPr>
          <w:b/>
          <w:caps/>
        </w:rPr>
        <w:t xml:space="preserve">романът “Градината с разпятието“ </w:t>
      </w:r>
    </w:p>
    <w:p w:rsidR="00867836" w:rsidRPr="009F104C" w:rsidRDefault="00221BBE" w:rsidP="009F104C">
      <w:pPr>
        <w:spacing w:line="360" w:lineRule="auto"/>
        <w:ind w:left="142"/>
        <w:jc w:val="left"/>
        <w:rPr>
          <w:b/>
          <w:caps/>
        </w:rPr>
      </w:pPr>
      <w:r w:rsidRPr="009F104C">
        <w:rPr>
          <w:b/>
          <w:caps/>
        </w:rPr>
        <w:t>от Мартен Калеев</w:t>
      </w:r>
    </w:p>
    <w:p w:rsidR="00221BBE" w:rsidRDefault="00221BBE" w:rsidP="009F104C">
      <w:pPr>
        <w:spacing w:line="360" w:lineRule="auto"/>
        <w:ind w:left="142"/>
      </w:pPr>
    </w:p>
    <w:p w:rsidR="00221BBE" w:rsidRDefault="00221BBE" w:rsidP="009F104C">
      <w:pPr>
        <w:spacing w:line="360" w:lineRule="auto"/>
        <w:ind w:left="142"/>
      </w:pPr>
      <w:r>
        <w:tab/>
        <w:t>Романът “Градинат</w:t>
      </w:r>
      <w:bookmarkStart w:id="0" w:name="_GoBack"/>
      <w:bookmarkEnd w:id="0"/>
      <w:r>
        <w:t xml:space="preserve">а с разпятието“ от Мартен </w:t>
      </w:r>
      <w:proofErr w:type="spellStart"/>
      <w:r>
        <w:t>Калеев</w:t>
      </w:r>
      <w:proofErr w:type="spellEnd"/>
      <w:r w:rsidR="00027FBA">
        <w:rPr>
          <w:rStyle w:val="a5"/>
        </w:rPr>
        <w:footnoteReference w:id="1"/>
      </w:r>
      <w:r>
        <w:t xml:space="preserve"> подлага героя си на </w:t>
      </w:r>
      <w:r w:rsidR="00027FBA">
        <w:t xml:space="preserve">ни повече, ни по-малко </w:t>
      </w:r>
      <w:r>
        <w:t xml:space="preserve">най-върховните, </w:t>
      </w:r>
      <w:proofErr w:type="spellStart"/>
      <w:r>
        <w:t>екзистенциално</w:t>
      </w:r>
      <w:proofErr w:type="spellEnd"/>
      <w:r>
        <w:t xml:space="preserve"> универсалните изпитания – изпитанието да останеш жив и изпитанието да бъдеш човек.</w:t>
      </w:r>
    </w:p>
    <w:p w:rsidR="00221BBE" w:rsidRDefault="00221BBE" w:rsidP="009F104C">
      <w:pPr>
        <w:spacing w:line="360" w:lineRule="auto"/>
        <w:ind w:left="142"/>
      </w:pPr>
      <w:r>
        <w:tab/>
        <w:t xml:space="preserve">За тази цел романовата стратегия избира герой, максимално освободен от всякакви връзки със света отвъд “инкубатора“, тоест приюта за изоставени деца. </w:t>
      </w:r>
      <w:r w:rsidR="00DC4A07">
        <w:t>В момента на срещата с читателя н</w:t>
      </w:r>
      <w:r w:rsidR="008F45B5">
        <w:t xml:space="preserve">еговият единствен свят, живот, спомени, опит, отношения с другите хора се свеждат до изолирания и затворен свят на приюта. </w:t>
      </w:r>
      <w:r>
        <w:t xml:space="preserve">Но дори в това затворено, със свои закони и правила, с </w:t>
      </w:r>
      <w:proofErr w:type="spellStart"/>
      <w:r>
        <w:t>лишеността</w:t>
      </w:r>
      <w:proofErr w:type="spellEnd"/>
      <w:r>
        <w:t xml:space="preserve"> му от родителска близост, ласка, нежност и грижа пространство, героят се отличава от другите му обитатели с тотални липси. Ако другите имат, макар и недобросъвестни, родители, спомени или поне следи от предишното си битие на нечии “деца“, то </w:t>
      </w:r>
      <w:r w:rsidR="008F45B5" w:rsidRPr="008F45B5">
        <w:t>Йоан Найденов</w:t>
      </w:r>
      <w:r>
        <w:t xml:space="preserve">  е намерен чисто гол</w:t>
      </w:r>
      <w:r w:rsidR="008F45B5">
        <w:t>,</w:t>
      </w:r>
      <w:r>
        <w:t xml:space="preserve"> в </w:t>
      </w:r>
      <w:r w:rsidR="008F45B5">
        <w:t xml:space="preserve">съвършено </w:t>
      </w:r>
      <w:r>
        <w:t>празен кашон, бе</w:t>
      </w:r>
      <w:r w:rsidR="008F45B5">
        <w:t>з документи, без бележка за име или поне рождена дата, без дори пелени или някаква завивка, пред входа на “инкубатора“</w:t>
      </w:r>
      <w:r w:rsidR="009F0F6A">
        <w:t>, което обезопасява невъзможността да бъде осиновен, да излезе отвъд оградата на приюта и да заживее в истинско семейство</w:t>
      </w:r>
      <w:r w:rsidR="008F45B5">
        <w:t xml:space="preserve">. </w:t>
      </w:r>
      <w:r w:rsidR="00DC4A07">
        <w:t xml:space="preserve">Тези отлики </w:t>
      </w:r>
      <w:r w:rsidR="009F0F6A">
        <w:t xml:space="preserve">от другите </w:t>
      </w:r>
      <w:r w:rsidR="00DC4A07">
        <w:t xml:space="preserve">са </w:t>
      </w:r>
      <w:r w:rsidR="009F0F6A">
        <w:t>продължени с внушенията за особеното заболяване, различното възприемане на света и художническия талант на момчето.</w:t>
      </w:r>
    </w:p>
    <w:p w:rsidR="00221BBE" w:rsidRDefault="008F45B5" w:rsidP="009F104C">
      <w:pPr>
        <w:spacing w:line="360" w:lineRule="auto"/>
        <w:ind w:left="142"/>
      </w:pPr>
      <w:r>
        <w:tab/>
      </w:r>
      <w:r w:rsidR="009F0F6A">
        <w:t xml:space="preserve">Животът в “инкубатора“ на пръв поглед не се отличава от стереотипните представи за подобно място – персонал, който си позволява да покрадва от помощите на задължителния американец благодетел, банда от яки </w:t>
      </w:r>
      <w:proofErr w:type="spellStart"/>
      <w:r w:rsidR="009F0F6A">
        <w:t>наглеци</w:t>
      </w:r>
      <w:proofErr w:type="spellEnd"/>
      <w:r w:rsidR="009F0F6A">
        <w:t xml:space="preserve">, която </w:t>
      </w:r>
      <w:r w:rsidR="009F0F6A">
        <w:lastRenderedPageBreak/>
        <w:t xml:space="preserve">тормози по-слабите, добър и разбиращ байчо, </w:t>
      </w:r>
      <w:r w:rsidR="007F115E">
        <w:t xml:space="preserve">състрадаваща </w:t>
      </w:r>
      <w:proofErr w:type="spellStart"/>
      <w:r w:rsidR="007F115E">
        <w:t>посвоему</w:t>
      </w:r>
      <w:proofErr w:type="spellEnd"/>
      <w:r w:rsidR="007F115E">
        <w:t xml:space="preserve"> чистачка, </w:t>
      </w:r>
      <w:r w:rsidR="00BC3556">
        <w:t>отказана възможност за лично пространство, психоложка, която експериментира с непозволени лекарства върху питомците и т.н.</w:t>
      </w:r>
    </w:p>
    <w:p w:rsidR="00BC3556" w:rsidRDefault="00BC3556" w:rsidP="009F104C">
      <w:pPr>
        <w:spacing w:line="360" w:lineRule="auto"/>
        <w:ind w:left="142"/>
      </w:pPr>
      <w:r>
        <w:tab/>
        <w:t xml:space="preserve">С мяра и пестеливо е обрисувана и картината на живота отвъд оградата на приюта – </w:t>
      </w:r>
      <w:proofErr w:type="spellStart"/>
      <w:r>
        <w:t>наглееща</w:t>
      </w:r>
      <w:proofErr w:type="spellEnd"/>
      <w:r>
        <w:t xml:space="preserve"> и безнаказана поради богатството на родителите си банда от момчета с ролери, </w:t>
      </w:r>
      <w:proofErr w:type="spellStart"/>
      <w:r>
        <w:t>мутренски</w:t>
      </w:r>
      <w:proofErr w:type="spellEnd"/>
      <w:r>
        <w:t xml:space="preserve"> плувен басейн, недостъпен за жителите на градеца, разрушаване на старинни и уникални домове, за да се строи магистрала, за която правилните хора вече предвидливо са закупили парцели, за да им бъдат платени на много по-високи цени при отчуждаването, амбулантни търговци, </w:t>
      </w:r>
      <w:proofErr w:type="spellStart"/>
      <w:r>
        <w:t>клошари</w:t>
      </w:r>
      <w:proofErr w:type="spellEnd"/>
      <w:r>
        <w:t>… - една епоха, на която “червеното на кръвта много повече ще й отива“.</w:t>
      </w:r>
    </w:p>
    <w:p w:rsidR="00BC3556" w:rsidRDefault="0026323A" w:rsidP="009F104C">
      <w:pPr>
        <w:spacing w:line="360" w:lineRule="auto"/>
        <w:ind w:left="142"/>
      </w:pPr>
      <w:r>
        <w:tab/>
        <w:t>“Кръвта“ е една от възловите метафори в романа</w:t>
      </w:r>
      <w:r w:rsidR="00162F07">
        <w:t xml:space="preserve"> с много измерения</w:t>
      </w:r>
      <w:r>
        <w:t xml:space="preserve">. От една страна, тя, главно на героя и неговия приятел </w:t>
      </w:r>
      <w:proofErr w:type="spellStart"/>
      <w:r>
        <w:t>Джето</w:t>
      </w:r>
      <w:proofErr w:type="spellEnd"/>
      <w:r>
        <w:t xml:space="preserve">, се лее на воля, доколкото те са обект на силови упражнения от страна на бандата вътре и бандата отвън приюта. От друга страна, тя е родовата кръв като отречена възможност за Йоан, но и като отказът от нея на </w:t>
      </w:r>
      <w:proofErr w:type="spellStart"/>
      <w:r>
        <w:t>Джето</w:t>
      </w:r>
      <w:proofErr w:type="spellEnd"/>
      <w:r>
        <w:t xml:space="preserve"> и </w:t>
      </w:r>
      <w:proofErr w:type="spellStart"/>
      <w:r>
        <w:t>Ади</w:t>
      </w:r>
      <w:proofErr w:type="spellEnd"/>
      <w:r>
        <w:t xml:space="preserve"> поради ужасяващите спомени от живота в собствените им семейства. Тя е и </w:t>
      </w:r>
      <w:proofErr w:type="spellStart"/>
      <w:r>
        <w:t>буквализирана</w:t>
      </w:r>
      <w:r w:rsidR="00162F07">
        <w:t>та</w:t>
      </w:r>
      <w:proofErr w:type="spellEnd"/>
      <w:r>
        <w:t xml:space="preserve"> метафора за връзката между обитателите и персонала на “инкубатора“</w:t>
      </w:r>
      <w:r w:rsidR="00162F07">
        <w:t xml:space="preserve">, когато </w:t>
      </w:r>
      <w:r w:rsidR="00162F07" w:rsidRPr="00310B5B">
        <w:rPr>
          <w:b/>
        </w:rPr>
        <w:t>всички до един</w:t>
      </w:r>
      <w:r w:rsidR="00162F07">
        <w:t xml:space="preserve"> отиват да дадат своята кръв за спасението на </w:t>
      </w:r>
      <w:proofErr w:type="spellStart"/>
      <w:r w:rsidR="00162F07">
        <w:t>Кроки</w:t>
      </w:r>
      <w:proofErr w:type="spellEnd"/>
      <w:r w:rsidR="00162F07">
        <w:t xml:space="preserve">. </w:t>
      </w:r>
      <w:r>
        <w:t xml:space="preserve"> </w:t>
      </w:r>
      <w:r w:rsidR="00162F07">
        <w:t xml:space="preserve">Тя е върховното измерение на </w:t>
      </w:r>
      <w:r w:rsidR="00310B5B">
        <w:t xml:space="preserve">усещането за </w:t>
      </w:r>
      <w:r w:rsidR="00162F07">
        <w:t xml:space="preserve">братство, за общност, солидарност, взаимопомощ, </w:t>
      </w:r>
      <w:r w:rsidR="00162F07">
        <w:rPr>
          <w:b/>
        </w:rPr>
        <w:t>семейственост</w:t>
      </w:r>
      <w:r w:rsidR="00162F07">
        <w:t>, различна от общоприетите представи за отношенията в нормалните семейства, дори за превъзходство над закриляните от своите родители: “</w:t>
      </w:r>
      <w:r w:rsidR="00162F07" w:rsidRPr="00310B5B">
        <w:rPr>
          <w:i/>
        </w:rPr>
        <w:t xml:space="preserve">Тия зализани </w:t>
      </w:r>
      <w:proofErr w:type="spellStart"/>
      <w:r w:rsidR="00162F07" w:rsidRPr="00310B5B">
        <w:rPr>
          <w:i/>
        </w:rPr>
        <w:t>помиярчета</w:t>
      </w:r>
      <w:proofErr w:type="spellEnd"/>
      <w:r w:rsidR="00162F07" w:rsidRPr="00310B5B">
        <w:rPr>
          <w:i/>
        </w:rPr>
        <w:t>… и минута не могат да издържат… на наше място</w:t>
      </w:r>
      <w:r w:rsidR="00310B5B" w:rsidRPr="00310B5B">
        <w:rPr>
          <w:i/>
        </w:rPr>
        <w:t>. Нали… сме… копелета… Значи… сме… братя?“; Защото… сме братя…“</w:t>
      </w:r>
    </w:p>
    <w:p w:rsidR="00310B5B" w:rsidRDefault="00310B5B" w:rsidP="009F104C">
      <w:pPr>
        <w:spacing w:line="360" w:lineRule="auto"/>
        <w:ind w:left="142"/>
      </w:pPr>
      <w:r>
        <w:tab/>
        <w:t xml:space="preserve">Това братство, тази метафорична кръв, която се дарява, </w:t>
      </w:r>
      <w:r w:rsidR="006F75A8">
        <w:t>но</w:t>
      </w:r>
      <w:r>
        <w:t xml:space="preserve"> не се продава, е възлов щрих в постепенното и умело наслагване на боите в обрисуването на картината на сложния и нееднозначен живот на хората в приюта. Тя е и важно стъпало по пътя на героя не към простото и буквално оцеляване, но и в постигането на смисъла на човешкото.</w:t>
      </w:r>
    </w:p>
    <w:p w:rsidR="007426C8" w:rsidRDefault="00310B5B" w:rsidP="009F104C">
      <w:pPr>
        <w:spacing w:line="360" w:lineRule="auto"/>
        <w:ind w:left="142"/>
      </w:pPr>
      <w:r>
        <w:lastRenderedPageBreak/>
        <w:tab/>
        <w:t>Другата важна стъпка са символичните бащи и майки – учителят по география, професорът художник и съпругата му, които се намесват в живота на Йоан, за да му открият истината, че Доброто е възможно и налично дори в епохата</w:t>
      </w:r>
      <w:r w:rsidR="00AA4ED6">
        <w:t>,</w:t>
      </w:r>
      <w:r>
        <w:t xml:space="preserve"> на която червеното на кръвта най-много отива.</w:t>
      </w:r>
    </w:p>
    <w:p w:rsidR="00056316" w:rsidRDefault="007426C8" w:rsidP="009F104C">
      <w:pPr>
        <w:spacing w:line="360" w:lineRule="auto"/>
        <w:ind w:left="142" w:firstLine="708"/>
      </w:pPr>
      <w:r>
        <w:t xml:space="preserve">В тази именно епоха, в която думата “ценности“ се е превърнала в клише, </w:t>
      </w:r>
      <w:proofErr w:type="spellStart"/>
      <w:r>
        <w:t>десемантизирала</w:t>
      </w:r>
      <w:proofErr w:type="spellEnd"/>
      <w:r>
        <w:t xml:space="preserve"> се е, и навява на читателя по-скоро негативни, отколкото позитивни асоциации, романът на Мартен </w:t>
      </w:r>
      <w:proofErr w:type="spellStart"/>
      <w:r>
        <w:t>Калеев</w:t>
      </w:r>
      <w:proofErr w:type="spellEnd"/>
      <w:r>
        <w:t xml:space="preserve"> задъхано се опитва да ни върне към универсалните ценности и универсалните стойности</w:t>
      </w:r>
      <w:r w:rsidR="00056316">
        <w:t>:</w:t>
      </w:r>
    </w:p>
    <w:p w:rsidR="00056316" w:rsidRDefault="00056316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>
        <w:t>отговорността на обществото към живота на едно дете, на всяко дете;</w:t>
      </w:r>
    </w:p>
    <w:p w:rsidR="00056316" w:rsidRDefault="00056316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7426C8">
        <w:t>приятелството (</w:t>
      </w:r>
      <w:proofErr w:type="spellStart"/>
      <w:r w:rsidR="007426C8">
        <w:t>Джето</w:t>
      </w:r>
      <w:proofErr w:type="spellEnd"/>
      <w:r w:rsidR="007426C8">
        <w:t>)</w:t>
      </w:r>
      <w:r>
        <w:t>;</w:t>
      </w:r>
    </w:p>
    <w:p w:rsidR="00056316" w:rsidRDefault="00056316" w:rsidP="009F104C">
      <w:pPr>
        <w:spacing w:line="360" w:lineRule="auto"/>
        <w:ind w:left="142" w:firstLine="708"/>
        <w:jc w:val="left"/>
      </w:pPr>
      <w:r>
        <w:t>-</w:t>
      </w:r>
      <w:r w:rsidR="005A6CDB">
        <w:t xml:space="preserve"> </w:t>
      </w:r>
      <w:r w:rsidR="007426C8">
        <w:t xml:space="preserve">духовното бащинство и майчинство (учителят по география, професорът </w:t>
      </w:r>
      <w:r>
        <w:t xml:space="preserve">Симеонов, </w:t>
      </w:r>
      <w:r w:rsidR="006A3193">
        <w:t>леля Витка</w:t>
      </w:r>
      <w:r w:rsidR="007426C8">
        <w:t>),</w:t>
      </w:r>
      <w:r>
        <w:t xml:space="preserve"> като по-важни от случайното, нежелано, безотговорно, а често и престъпно </w:t>
      </w:r>
      <w:proofErr w:type="spellStart"/>
      <w:r>
        <w:t>родителство</w:t>
      </w:r>
      <w:proofErr w:type="spellEnd"/>
      <w:r>
        <w:t>;</w:t>
      </w:r>
    </w:p>
    <w:p w:rsidR="00056316" w:rsidRDefault="00056316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7426C8">
        <w:t>солидарността (</w:t>
      </w:r>
      <w:proofErr w:type="spellStart"/>
      <w:r w:rsidR="007426C8">
        <w:t>Кроки</w:t>
      </w:r>
      <w:proofErr w:type="spellEnd"/>
      <w:r w:rsidR="007426C8">
        <w:t>)</w:t>
      </w:r>
      <w:r>
        <w:t>;</w:t>
      </w:r>
    </w:p>
    <w:p w:rsidR="00056316" w:rsidRDefault="00056316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7426C8">
        <w:t>отстояването на себе си и собствения свят (Йоан, професорът)</w:t>
      </w:r>
    </w:p>
    <w:p w:rsidR="007F115E" w:rsidRDefault="00056316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6A3193">
        <w:t>любовта</w:t>
      </w:r>
      <w:r w:rsidR="00034D19">
        <w:t xml:space="preserve"> (</w:t>
      </w:r>
      <w:proofErr w:type="spellStart"/>
      <w:r w:rsidR="00034D19">
        <w:t>Малена</w:t>
      </w:r>
      <w:proofErr w:type="spellEnd"/>
      <w:r w:rsidR="00034D19">
        <w:t>)</w:t>
      </w:r>
    </w:p>
    <w:p w:rsidR="00056316" w:rsidRDefault="007F115E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>
        <w:t>надеждата (финалът)</w:t>
      </w:r>
      <w:r w:rsidR="007426C8">
        <w:t>.</w:t>
      </w:r>
    </w:p>
    <w:p w:rsidR="00325782" w:rsidRDefault="006A3193" w:rsidP="009F104C">
      <w:pPr>
        <w:spacing w:line="360" w:lineRule="auto"/>
        <w:ind w:left="142" w:firstLine="708"/>
      </w:pPr>
      <w:r>
        <w:t>Прави го чрез</w:t>
      </w:r>
      <w:r w:rsidR="007426C8">
        <w:t xml:space="preserve"> </w:t>
      </w:r>
      <w:r w:rsidR="00056316">
        <w:t xml:space="preserve">различни наративни техники: </w:t>
      </w:r>
    </w:p>
    <w:p w:rsidR="00325782" w:rsidRDefault="00325782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6A3193">
        <w:t>аз-разказа като а</w:t>
      </w:r>
      <w:r>
        <w:t>втентичното говорене за себе си;</w:t>
      </w:r>
    </w:p>
    <w:p w:rsidR="00325782" w:rsidRDefault="00325782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6A3193">
        <w:t>задъхани диалози, имащи всъщност характер на спор със себе си</w:t>
      </w:r>
      <w:r w:rsidR="00056316">
        <w:t>;</w:t>
      </w:r>
    </w:p>
    <w:p w:rsidR="00DD25CD" w:rsidRDefault="00325782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6A3193">
        <w:t xml:space="preserve">редуване на детайлно описание на вътрешни преживявания и </w:t>
      </w:r>
      <w:proofErr w:type="spellStart"/>
      <w:r w:rsidR="006A3193">
        <w:t>остросюжетни</w:t>
      </w:r>
      <w:proofErr w:type="spellEnd"/>
      <w:r w:rsidR="006A3193">
        <w:t xml:space="preserve"> събития (</w:t>
      </w:r>
      <w:r w:rsidR="00034D19">
        <w:t xml:space="preserve">разследване на убийство, </w:t>
      </w:r>
      <w:proofErr w:type="spellStart"/>
      <w:r w:rsidR="00DD25CD">
        <w:t>саморазпъването</w:t>
      </w:r>
      <w:proofErr w:type="spellEnd"/>
      <w:r w:rsidR="00DD25CD">
        <w:t xml:space="preserve"> на кръст на професор Симеонов като единственият достоен начин за протест, </w:t>
      </w:r>
      <w:r w:rsidR="00034D19">
        <w:t>трагичен инцидент)</w:t>
      </w:r>
      <w:r w:rsidR="00056316">
        <w:t>;</w:t>
      </w:r>
    </w:p>
    <w:p w:rsidR="006E14C4" w:rsidRDefault="00DD25CD" w:rsidP="009F104C">
      <w:pPr>
        <w:spacing w:line="360" w:lineRule="auto"/>
        <w:ind w:left="142" w:firstLine="708"/>
      </w:pPr>
      <w:r>
        <w:t>-</w:t>
      </w:r>
      <w:r w:rsidR="005A6CDB">
        <w:t xml:space="preserve"> </w:t>
      </w:r>
      <w:r w:rsidR="00056316">
        <w:t xml:space="preserve">монолози, сумиращи смисъла </w:t>
      </w:r>
      <w:r w:rsidR="006E14C4">
        <w:t>(“</w:t>
      </w:r>
      <w:proofErr w:type="spellStart"/>
      <w:r w:rsidR="006E14C4">
        <w:t>Послеслов</w:t>
      </w:r>
      <w:proofErr w:type="spellEnd"/>
      <w:r w:rsidR="006E14C4">
        <w:t>“).</w:t>
      </w:r>
    </w:p>
    <w:p w:rsidR="00056316" w:rsidRDefault="006E14C4" w:rsidP="009F104C">
      <w:pPr>
        <w:spacing w:line="360" w:lineRule="auto"/>
        <w:ind w:left="142" w:firstLine="708"/>
      </w:pPr>
      <w:r>
        <w:t xml:space="preserve">Прави го </w:t>
      </w:r>
      <w:r w:rsidR="006A3193">
        <w:t xml:space="preserve">чрез аналогиите с Новия Завет – градината, разпятието, </w:t>
      </w:r>
      <w:proofErr w:type="spellStart"/>
      <w:r w:rsidR="00056316">
        <w:t>Малена</w:t>
      </w:r>
      <w:proofErr w:type="spellEnd"/>
      <w:r w:rsidR="00056316">
        <w:t>/Магдалена.</w:t>
      </w:r>
    </w:p>
    <w:p w:rsidR="007426C8" w:rsidRDefault="00056316" w:rsidP="009F104C">
      <w:pPr>
        <w:spacing w:line="360" w:lineRule="auto"/>
        <w:ind w:left="142" w:firstLine="708"/>
      </w:pPr>
      <w:r>
        <w:t>Прави го и ч</w:t>
      </w:r>
      <w:r w:rsidR="006A3193">
        <w:t>рез своята</w:t>
      </w:r>
      <w:r>
        <w:t>, бих я нарекла</w:t>
      </w:r>
      <w:r w:rsidR="006A3193">
        <w:t xml:space="preserve"> </w:t>
      </w:r>
      <w:proofErr w:type="spellStart"/>
      <w:r w:rsidR="006A3193">
        <w:t>просвещенско</w:t>
      </w:r>
      <w:proofErr w:type="spellEnd"/>
      <w:r w:rsidR="006A3193">
        <w:t xml:space="preserve"> </w:t>
      </w:r>
      <w:proofErr w:type="spellStart"/>
      <w:r w:rsidR="006A3193">
        <w:t>моралистична</w:t>
      </w:r>
      <w:proofErr w:type="spellEnd"/>
      <w:r w:rsidR="006A3193">
        <w:t xml:space="preserve"> позиция, връщ</w:t>
      </w:r>
      <w:r w:rsidR="00034D19">
        <w:t>ането към която, към моралните п</w:t>
      </w:r>
      <w:r w:rsidR="006A3193">
        <w:t>ринципи на Просвещението</w:t>
      </w:r>
      <w:r w:rsidR="00492021">
        <w:t>,</w:t>
      </w:r>
      <w:r w:rsidR="006A3193">
        <w:t xml:space="preserve"> все по-често се промъква, ако и </w:t>
      </w:r>
      <w:proofErr w:type="spellStart"/>
      <w:r w:rsidR="006A3193">
        <w:t>маргинализирано</w:t>
      </w:r>
      <w:proofErr w:type="spellEnd"/>
      <w:r w:rsidR="006A3193">
        <w:t xml:space="preserve">, в срещите ми с публицистични, научни и </w:t>
      </w:r>
      <w:r w:rsidR="006A3193">
        <w:lastRenderedPageBreak/>
        <w:t xml:space="preserve">художествени </w:t>
      </w:r>
      <w:r w:rsidR="006E14C4">
        <w:t>текстове</w:t>
      </w:r>
      <w:r w:rsidR="006A3193">
        <w:t xml:space="preserve">. </w:t>
      </w:r>
      <w:proofErr w:type="spellStart"/>
      <w:r>
        <w:t>Моралистична</w:t>
      </w:r>
      <w:proofErr w:type="spellEnd"/>
      <w:r>
        <w:t>, но не и дидактична</w:t>
      </w:r>
      <w:r w:rsidR="006E14C4">
        <w:t>, доколкото романът е намерил тънката граница между тях</w:t>
      </w:r>
      <w:r>
        <w:t>.</w:t>
      </w:r>
    </w:p>
    <w:p w:rsidR="006E14C4" w:rsidRDefault="006E14C4" w:rsidP="009F104C">
      <w:pPr>
        <w:spacing w:line="360" w:lineRule="auto"/>
        <w:ind w:left="142" w:firstLine="708"/>
      </w:pPr>
      <w:r>
        <w:t>За разлика от други критически гласове</w:t>
      </w:r>
      <w:r>
        <w:rPr>
          <w:rStyle w:val="a5"/>
        </w:rPr>
        <w:footnoteReference w:id="2"/>
      </w:r>
      <w:r>
        <w:t>, аз не бих правила аналогии между “Градината на разпятието“ и други творби на световната и българската литература, защото смятам, че външни</w:t>
      </w:r>
      <w:r w:rsidR="00B54000">
        <w:t>те</w:t>
      </w:r>
      <w:r>
        <w:t xml:space="preserve"> влияния са асимилирани, за да се получи едно органично самобит</w:t>
      </w:r>
      <w:r w:rsidR="00B54000">
        <w:t>но цяло, което е и достойнство</w:t>
      </w:r>
      <w:r>
        <w:t xml:space="preserve"> на </w:t>
      </w:r>
      <w:r w:rsidR="00B54000">
        <w:t>тази</w:t>
      </w:r>
      <w:r>
        <w:t xml:space="preserve"> творба. Що се отнася до аналогиите с Маркес или Радичков, те са само най-общи и типологи</w:t>
      </w:r>
      <w:r w:rsidR="00B54000">
        <w:t>чни: да провидиш универсалното з</w:t>
      </w:r>
      <w:r>
        <w:t xml:space="preserve">а човешкия свят през едно единично, </w:t>
      </w:r>
      <w:proofErr w:type="spellStart"/>
      <w:r>
        <w:t>своебразно</w:t>
      </w:r>
      <w:proofErr w:type="spellEnd"/>
      <w:r>
        <w:t xml:space="preserve">, </w:t>
      </w:r>
      <w:r w:rsidR="00B54000">
        <w:t xml:space="preserve">дори екзотично, откъснато от света пространство. Изборът може да е </w:t>
      </w:r>
      <w:proofErr w:type="spellStart"/>
      <w:r w:rsidR="00B54000">
        <w:t>Макондо</w:t>
      </w:r>
      <w:proofErr w:type="spellEnd"/>
      <w:r w:rsidR="00B54000">
        <w:t xml:space="preserve">, може да е Старопатица, може да е и изборът на Мартен </w:t>
      </w:r>
      <w:proofErr w:type="spellStart"/>
      <w:r w:rsidR="00B54000">
        <w:t>Калеев</w:t>
      </w:r>
      <w:proofErr w:type="spellEnd"/>
      <w:r w:rsidR="00B54000">
        <w:t xml:space="preserve"> - “инкубаторът“, приютът за изоставени деца в едно малко градче на Българския Северозапад.  “Градината на разпятието“ е разказ за търсенето на истина за нас тук и сега, за епохата ни, на която червеното на кръвта наистина най-отива, но и за пътищата към отстояването на човешкото винаги и навсякъде.</w:t>
      </w:r>
    </w:p>
    <w:p w:rsidR="00056316" w:rsidRDefault="00056316" w:rsidP="009F104C">
      <w:pPr>
        <w:spacing w:line="360" w:lineRule="auto"/>
        <w:ind w:left="142" w:firstLine="708"/>
      </w:pPr>
    </w:p>
    <w:p w:rsidR="004357A3" w:rsidRPr="004357A3" w:rsidRDefault="004357A3" w:rsidP="009F104C">
      <w:pPr>
        <w:spacing w:line="360" w:lineRule="auto"/>
        <w:ind w:left="142" w:firstLine="708"/>
      </w:pPr>
      <w:proofErr w:type="gramStart"/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Този критически етюд излиза с доста голямо закъснение </w:t>
      </w:r>
      <w:r w:rsidR="004F2AD8">
        <w:t>след</w:t>
      </w:r>
      <w:r>
        <w:t xml:space="preserve"> появата на романа.</w:t>
      </w:r>
      <w:proofErr w:type="gramEnd"/>
      <w:r>
        <w:t xml:space="preserve"> Авторката на етюда е длъжна да отбележи</w:t>
      </w:r>
      <w:r w:rsidR="00EA575F">
        <w:t xml:space="preserve"> в свое оправдание</w:t>
      </w:r>
      <w:r>
        <w:t xml:space="preserve">, че </w:t>
      </w:r>
      <w:r w:rsidR="004F2AD8">
        <w:t>това е симптоматично закъснение, породено от факта, че въпреки почти възрожденските усилия</w:t>
      </w:r>
      <w:r w:rsidR="006214C0">
        <w:t>, но</w:t>
      </w:r>
      <w:r w:rsidR="004F2AD8">
        <w:t xml:space="preserve"> и академичната компетентност на </w:t>
      </w:r>
      <w:proofErr w:type="spellStart"/>
      <w:r w:rsidR="004F2AD8">
        <w:t>няколкото</w:t>
      </w:r>
      <w:proofErr w:type="spellEnd"/>
      <w:r w:rsidR="004F2AD8">
        <w:t xml:space="preserve"> наистина професионални хартиени</w:t>
      </w:r>
      <w:r w:rsidR="006214C0">
        <w:t xml:space="preserve"> и електронни</w:t>
      </w:r>
      <w:r w:rsidR="004F2AD8">
        <w:t xml:space="preserve"> издания, основният фокус на литературния живот е все пак </w:t>
      </w:r>
      <w:proofErr w:type="spellStart"/>
      <w:r w:rsidR="004F2AD8">
        <w:t>столичноцентри</w:t>
      </w:r>
      <w:r w:rsidR="006214C0">
        <w:t>ран</w:t>
      </w:r>
      <w:proofErr w:type="spellEnd"/>
      <w:r w:rsidR="004F2AD8">
        <w:t>. Което поражда притеснения</w:t>
      </w:r>
      <w:r w:rsidR="006214C0">
        <w:t xml:space="preserve"> (не само мои, мисля)</w:t>
      </w:r>
      <w:r w:rsidR="004F2AD8">
        <w:t>, че някъде</w:t>
      </w:r>
      <w:r w:rsidR="006214C0">
        <w:t xml:space="preserve"> в</w:t>
      </w:r>
      <w:r w:rsidR="004F2AD8">
        <w:t xml:space="preserve"> </w:t>
      </w:r>
      <w:r w:rsidR="006214C0">
        <w:t>“периферията“ може за се появи наистина стойностна литература, която да убегне от критическия поглед.</w:t>
      </w:r>
    </w:p>
    <w:sectPr w:rsidR="004357A3" w:rsidRPr="004357A3" w:rsidSect="009F104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6C" w:rsidRDefault="004D7C6C" w:rsidP="00027FBA">
      <w:r>
        <w:separator/>
      </w:r>
    </w:p>
  </w:endnote>
  <w:endnote w:type="continuationSeparator" w:id="0">
    <w:p w:rsidR="004D7C6C" w:rsidRDefault="004D7C6C" w:rsidP="0002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6C" w:rsidRDefault="004D7C6C" w:rsidP="00027FBA">
      <w:r>
        <w:separator/>
      </w:r>
    </w:p>
  </w:footnote>
  <w:footnote w:type="continuationSeparator" w:id="0">
    <w:p w:rsidR="004D7C6C" w:rsidRDefault="004D7C6C" w:rsidP="00027FBA">
      <w:r>
        <w:continuationSeparator/>
      </w:r>
    </w:p>
  </w:footnote>
  <w:footnote w:id="1">
    <w:p w:rsidR="00027FBA" w:rsidRDefault="00027FBA" w:rsidP="006214C0">
      <w:r>
        <w:rPr>
          <w:rStyle w:val="a5"/>
        </w:rPr>
        <w:footnoteRef/>
      </w:r>
      <w:r>
        <w:t xml:space="preserve"> </w:t>
      </w:r>
      <w:proofErr w:type="spellStart"/>
      <w:r w:rsidRPr="00027FBA">
        <w:rPr>
          <w:sz w:val="20"/>
          <w:szCs w:val="20"/>
        </w:rPr>
        <w:t>Калеев</w:t>
      </w:r>
      <w:proofErr w:type="spellEnd"/>
      <w:r w:rsidRPr="00027FBA">
        <w:rPr>
          <w:sz w:val="20"/>
          <w:szCs w:val="20"/>
        </w:rPr>
        <w:t xml:space="preserve">, Мартен. “Градината с разпятието“, София: БГ </w:t>
      </w:r>
      <w:proofErr w:type="spellStart"/>
      <w:r w:rsidRPr="00027FBA">
        <w:rPr>
          <w:sz w:val="20"/>
          <w:szCs w:val="20"/>
        </w:rPr>
        <w:t>Принт</w:t>
      </w:r>
      <w:proofErr w:type="spellEnd"/>
      <w:r w:rsidRPr="00027FBA">
        <w:rPr>
          <w:sz w:val="20"/>
          <w:szCs w:val="20"/>
        </w:rPr>
        <w:t>, 2010</w:t>
      </w:r>
      <w:r>
        <w:rPr>
          <w:sz w:val="20"/>
          <w:szCs w:val="20"/>
        </w:rPr>
        <w:t>.</w:t>
      </w:r>
    </w:p>
  </w:footnote>
  <w:footnote w:id="2">
    <w:p w:rsidR="006E14C4" w:rsidRDefault="006E14C4">
      <w:pPr>
        <w:pStyle w:val="a3"/>
      </w:pPr>
      <w:r>
        <w:rPr>
          <w:rStyle w:val="a5"/>
        </w:rPr>
        <w:footnoteRef/>
      </w:r>
      <w:r>
        <w:t xml:space="preserve"> Цанков, Георги. Кръстове за живите.</w:t>
      </w:r>
      <w:r w:rsidR="0050569E">
        <w:t xml:space="preserve"> в. </w:t>
      </w:r>
      <w:r w:rsidR="0050569E" w:rsidRPr="0050569E">
        <w:t>Литературен глас, XVIII, N 150, септ. – окт. 2010, с. 4.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D7"/>
    <w:rsid w:val="00027FBA"/>
    <w:rsid w:val="00034D19"/>
    <w:rsid w:val="00056316"/>
    <w:rsid w:val="00162F07"/>
    <w:rsid w:val="00221BBE"/>
    <w:rsid w:val="002464F0"/>
    <w:rsid w:val="00260286"/>
    <w:rsid w:val="0026323A"/>
    <w:rsid w:val="00282455"/>
    <w:rsid w:val="002832B7"/>
    <w:rsid w:val="00310B5B"/>
    <w:rsid w:val="00325782"/>
    <w:rsid w:val="00412AD7"/>
    <w:rsid w:val="004357A3"/>
    <w:rsid w:val="00492021"/>
    <w:rsid w:val="00496FEB"/>
    <w:rsid w:val="004D7C6C"/>
    <w:rsid w:val="004F2AD8"/>
    <w:rsid w:val="0050569E"/>
    <w:rsid w:val="0059567B"/>
    <w:rsid w:val="005A02E8"/>
    <w:rsid w:val="005A6CDB"/>
    <w:rsid w:val="006214C0"/>
    <w:rsid w:val="00666B52"/>
    <w:rsid w:val="006A3193"/>
    <w:rsid w:val="006E14C4"/>
    <w:rsid w:val="006F75A8"/>
    <w:rsid w:val="007426C8"/>
    <w:rsid w:val="007F115E"/>
    <w:rsid w:val="00867836"/>
    <w:rsid w:val="008F45B5"/>
    <w:rsid w:val="00903397"/>
    <w:rsid w:val="009A2212"/>
    <w:rsid w:val="009B7BB9"/>
    <w:rsid w:val="009F0F6A"/>
    <w:rsid w:val="009F104C"/>
    <w:rsid w:val="00A579BE"/>
    <w:rsid w:val="00AA4ED6"/>
    <w:rsid w:val="00B54000"/>
    <w:rsid w:val="00BC3556"/>
    <w:rsid w:val="00C02299"/>
    <w:rsid w:val="00D85AD2"/>
    <w:rsid w:val="00DC4A07"/>
    <w:rsid w:val="00DD25CD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7FBA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27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7FB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10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7FBA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27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7FB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10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F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1A24-0ECC-4E5F-9EAD-6A25673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pcteam</dc:creator>
  <cp:lastModifiedBy>Marten</cp:lastModifiedBy>
  <cp:revision>9</cp:revision>
  <dcterms:created xsi:type="dcterms:W3CDTF">2018-06-29T07:38:00Z</dcterms:created>
  <dcterms:modified xsi:type="dcterms:W3CDTF">2018-07-18T16:25:00Z</dcterms:modified>
</cp:coreProperties>
</file>